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2016"/>
        <w:tblW w:w="0" w:type="auto"/>
        <w:tblLook w:val="04A0" w:firstRow="1" w:lastRow="0" w:firstColumn="1" w:lastColumn="0" w:noHBand="0" w:noVBand="1"/>
      </w:tblPr>
      <w:tblGrid>
        <w:gridCol w:w="4106"/>
        <w:gridCol w:w="1160"/>
        <w:gridCol w:w="1385"/>
        <w:gridCol w:w="1134"/>
        <w:gridCol w:w="1532"/>
      </w:tblGrid>
      <w:tr w:rsidR="004B76F2" w14:paraId="47897F54" w14:textId="77777777" w:rsidTr="004B76F2">
        <w:tc>
          <w:tcPr>
            <w:tcW w:w="4106" w:type="dxa"/>
          </w:tcPr>
          <w:p w14:paraId="3DF85B44" w14:textId="32EF8D0B" w:rsidR="00FD7F59" w:rsidRPr="004B76F2" w:rsidRDefault="00FD7F59" w:rsidP="004B7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F2">
              <w:rPr>
                <w:b/>
                <w:bCs/>
                <w:sz w:val="24"/>
                <w:szCs w:val="24"/>
              </w:rPr>
              <w:t>Famiglie</w:t>
            </w:r>
          </w:p>
        </w:tc>
        <w:tc>
          <w:tcPr>
            <w:tcW w:w="1052" w:type="dxa"/>
          </w:tcPr>
          <w:p w14:paraId="7BD20B61" w14:textId="3ADA70B2" w:rsidR="00FD7F59" w:rsidRPr="004B76F2" w:rsidRDefault="00FD7F59" w:rsidP="004B7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F2">
              <w:rPr>
                <w:b/>
                <w:bCs/>
                <w:sz w:val="24"/>
                <w:szCs w:val="24"/>
              </w:rPr>
              <w:t>Numero nuclei famigliari</w:t>
            </w:r>
          </w:p>
        </w:tc>
        <w:tc>
          <w:tcPr>
            <w:tcW w:w="1385" w:type="dxa"/>
          </w:tcPr>
          <w:p w14:paraId="440B739C" w14:textId="2B02BB3C" w:rsidR="00FD7F59" w:rsidRPr="004B76F2" w:rsidRDefault="00FD7F59" w:rsidP="004B7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F2">
              <w:rPr>
                <w:b/>
                <w:bCs/>
                <w:sz w:val="24"/>
                <w:szCs w:val="24"/>
              </w:rPr>
              <w:t>Superficie totale abitazioni</w:t>
            </w:r>
          </w:p>
        </w:tc>
        <w:tc>
          <w:tcPr>
            <w:tcW w:w="1134" w:type="dxa"/>
          </w:tcPr>
          <w:p w14:paraId="065F0CC1" w14:textId="22D5B747" w:rsidR="00FD7F59" w:rsidRPr="004B76F2" w:rsidRDefault="00FD7F59" w:rsidP="004B7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F2">
              <w:rPr>
                <w:b/>
                <w:bCs/>
                <w:sz w:val="24"/>
                <w:szCs w:val="24"/>
              </w:rPr>
              <w:t>Quota fissa</w:t>
            </w:r>
          </w:p>
        </w:tc>
        <w:tc>
          <w:tcPr>
            <w:tcW w:w="1532" w:type="dxa"/>
          </w:tcPr>
          <w:p w14:paraId="0778FCDE" w14:textId="7BE4E765" w:rsidR="00FD7F59" w:rsidRPr="004B76F2" w:rsidRDefault="00FD7F59" w:rsidP="004B7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F2">
              <w:rPr>
                <w:b/>
                <w:bCs/>
                <w:sz w:val="24"/>
                <w:szCs w:val="24"/>
              </w:rPr>
              <w:t>Quota variabile per famiglia</w:t>
            </w:r>
          </w:p>
        </w:tc>
      </w:tr>
      <w:tr w:rsidR="004B76F2" w14:paraId="6244D3A3" w14:textId="77777777" w:rsidTr="004B76F2">
        <w:tc>
          <w:tcPr>
            <w:tcW w:w="4106" w:type="dxa"/>
          </w:tcPr>
          <w:p w14:paraId="00E69994" w14:textId="77777777" w:rsidR="00FD7F59" w:rsidRDefault="00FD7F59" w:rsidP="00FD7F59"/>
        </w:tc>
        <w:tc>
          <w:tcPr>
            <w:tcW w:w="1052" w:type="dxa"/>
          </w:tcPr>
          <w:p w14:paraId="299E7100" w14:textId="006CEB98" w:rsidR="00FD7F59" w:rsidRDefault="00FD7F59" w:rsidP="00FD7F59">
            <w:r>
              <w:t>n.</w:t>
            </w:r>
          </w:p>
        </w:tc>
        <w:tc>
          <w:tcPr>
            <w:tcW w:w="1385" w:type="dxa"/>
          </w:tcPr>
          <w:p w14:paraId="3E61C340" w14:textId="449E231D" w:rsidR="00FD7F59" w:rsidRPr="00FD7F59" w:rsidRDefault="00FD7F59" w:rsidP="00FD7F59">
            <w:r>
              <w:t>m</w:t>
            </w:r>
            <w:r w:rsidRPr="00FD7F59">
              <w:rPr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14:paraId="478C40B5" w14:textId="47840C99" w:rsidR="00FD7F59" w:rsidRDefault="00FD7F59" w:rsidP="00FD7F59">
            <w:r>
              <w:t>Euro/m</w:t>
            </w:r>
            <w:r w:rsidRPr="00FD7F59">
              <w:rPr>
                <w:vertAlign w:val="superscript"/>
              </w:rPr>
              <w:t>2</w:t>
            </w:r>
          </w:p>
        </w:tc>
        <w:tc>
          <w:tcPr>
            <w:tcW w:w="1532" w:type="dxa"/>
          </w:tcPr>
          <w:p w14:paraId="6A9B48CD" w14:textId="45D5447D" w:rsidR="00FD7F59" w:rsidRDefault="00FD7F59" w:rsidP="00FD7F59">
            <w:r>
              <w:t>Euro/utenza</w:t>
            </w:r>
          </w:p>
        </w:tc>
      </w:tr>
      <w:tr w:rsidR="004B76F2" w14:paraId="28DFEE44" w14:textId="77777777" w:rsidTr="004B76F2">
        <w:tc>
          <w:tcPr>
            <w:tcW w:w="4106" w:type="dxa"/>
          </w:tcPr>
          <w:p w14:paraId="0577F507" w14:textId="77777777" w:rsidR="00FD7F59" w:rsidRDefault="00FD7F59" w:rsidP="00FD7F59"/>
        </w:tc>
        <w:tc>
          <w:tcPr>
            <w:tcW w:w="1052" w:type="dxa"/>
          </w:tcPr>
          <w:p w14:paraId="65FFB4BA" w14:textId="77777777" w:rsidR="00FD7F59" w:rsidRDefault="00FD7F59" w:rsidP="00FD7F59"/>
        </w:tc>
        <w:tc>
          <w:tcPr>
            <w:tcW w:w="1385" w:type="dxa"/>
          </w:tcPr>
          <w:p w14:paraId="1DC543B3" w14:textId="77777777" w:rsidR="00FD7F59" w:rsidRDefault="00FD7F59" w:rsidP="00FD7F59"/>
        </w:tc>
        <w:tc>
          <w:tcPr>
            <w:tcW w:w="1134" w:type="dxa"/>
          </w:tcPr>
          <w:p w14:paraId="33C2F4BB" w14:textId="77777777" w:rsidR="00FD7F59" w:rsidRDefault="00FD7F59" w:rsidP="00FD7F59"/>
        </w:tc>
        <w:tc>
          <w:tcPr>
            <w:tcW w:w="1532" w:type="dxa"/>
          </w:tcPr>
          <w:p w14:paraId="59338771" w14:textId="77777777" w:rsidR="00FD7F59" w:rsidRDefault="00FD7F59" w:rsidP="00FD7F59"/>
        </w:tc>
      </w:tr>
      <w:tr w:rsidR="004B76F2" w14:paraId="07D43009" w14:textId="77777777" w:rsidTr="004B76F2">
        <w:tc>
          <w:tcPr>
            <w:tcW w:w="4106" w:type="dxa"/>
          </w:tcPr>
          <w:p w14:paraId="31C475FA" w14:textId="250D20D1" w:rsidR="00FD7F59" w:rsidRDefault="00FD7F59" w:rsidP="00FD7F59">
            <w:r>
              <w:t xml:space="preserve">Famiglie di 1 componente </w:t>
            </w:r>
          </w:p>
        </w:tc>
        <w:tc>
          <w:tcPr>
            <w:tcW w:w="1052" w:type="dxa"/>
          </w:tcPr>
          <w:p w14:paraId="58EED867" w14:textId="7DCB5F56" w:rsidR="00FD7F59" w:rsidRDefault="004B76F2" w:rsidP="00FD7F59">
            <w:r>
              <w:t>368</w:t>
            </w:r>
          </w:p>
        </w:tc>
        <w:tc>
          <w:tcPr>
            <w:tcW w:w="1385" w:type="dxa"/>
          </w:tcPr>
          <w:p w14:paraId="5DF0C66D" w14:textId="5BEA1514" w:rsidR="00FD7F59" w:rsidRDefault="004B76F2" w:rsidP="00FD7F59">
            <w:r>
              <w:t>43.447,40</w:t>
            </w:r>
          </w:p>
        </w:tc>
        <w:tc>
          <w:tcPr>
            <w:tcW w:w="1134" w:type="dxa"/>
          </w:tcPr>
          <w:p w14:paraId="78F929B9" w14:textId="777310B8" w:rsidR="00FD7F59" w:rsidRDefault="00CF6F36" w:rsidP="00FD7F59">
            <w:r>
              <w:t>0,72</w:t>
            </w:r>
          </w:p>
        </w:tc>
        <w:tc>
          <w:tcPr>
            <w:tcW w:w="1532" w:type="dxa"/>
          </w:tcPr>
          <w:p w14:paraId="09C28E27" w14:textId="774A411F" w:rsidR="00FD7F59" w:rsidRDefault="00CF6F36" w:rsidP="00FD7F59">
            <w:r>
              <w:t>59,57</w:t>
            </w:r>
          </w:p>
        </w:tc>
      </w:tr>
      <w:tr w:rsidR="004B76F2" w14:paraId="1475CF38" w14:textId="77777777" w:rsidTr="004B76F2">
        <w:tc>
          <w:tcPr>
            <w:tcW w:w="4106" w:type="dxa"/>
          </w:tcPr>
          <w:p w14:paraId="72436FC8" w14:textId="3817D7F4" w:rsidR="00FD7F59" w:rsidRDefault="00FD7F59" w:rsidP="00FD7F59">
            <w:r>
              <w:t xml:space="preserve">Famiglie di </w:t>
            </w:r>
            <w:proofErr w:type="gramStart"/>
            <w:r>
              <w:t>2</w:t>
            </w:r>
            <w:proofErr w:type="gramEnd"/>
            <w:r>
              <w:t xml:space="preserve"> componenti</w:t>
            </w:r>
          </w:p>
        </w:tc>
        <w:tc>
          <w:tcPr>
            <w:tcW w:w="1052" w:type="dxa"/>
          </w:tcPr>
          <w:p w14:paraId="2024336F" w14:textId="5FFB81AB" w:rsidR="00FD7F59" w:rsidRDefault="004B76F2" w:rsidP="00FD7F59">
            <w:r>
              <w:t>362</w:t>
            </w:r>
          </w:p>
        </w:tc>
        <w:tc>
          <w:tcPr>
            <w:tcW w:w="1385" w:type="dxa"/>
          </w:tcPr>
          <w:p w14:paraId="27D5F2D5" w14:textId="507D7D5C" w:rsidR="00FD7F59" w:rsidRDefault="004B76F2" w:rsidP="00FD7F59">
            <w:r>
              <w:t>47.223,28</w:t>
            </w:r>
          </w:p>
        </w:tc>
        <w:tc>
          <w:tcPr>
            <w:tcW w:w="1134" w:type="dxa"/>
          </w:tcPr>
          <w:p w14:paraId="55D1901F" w14:textId="49FBDE35" w:rsidR="00FD7F59" w:rsidRDefault="00CF6F36" w:rsidP="00FD7F59">
            <w:r>
              <w:t>0,85</w:t>
            </w:r>
          </w:p>
        </w:tc>
        <w:tc>
          <w:tcPr>
            <w:tcW w:w="1532" w:type="dxa"/>
          </w:tcPr>
          <w:p w14:paraId="6392DEAF" w14:textId="0BBEB7AD" w:rsidR="00FD7F59" w:rsidRDefault="00CF6F36" w:rsidP="00FD7F59">
            <w:r>
              <w:t>125,11</w:t>
            </w:r>
          </w:p>
        </w:tc>
      </w:tr>
      <w:tr w:rsidR="004B76F2" w14:paraId="06A0B08C" w14:textId="77777777" w:rsidTr="004B76F2">
        <w:tc>
          <w:tcPr>
            <w:tcW w:w="4106" w:type="dxa"/>
          </w:tcPr>
          <w:p w14:paraId="069B638D" w14:textId="7DC051A3" w:rsidR="00FD7F59" w:rsidRDefault="00FD7F59" w:rsidP="00FD7F59">
            <w:r>
              <w:t xml:space="preserve">Famiglie di </w:t>
            </w:r>
            <w:proofErr w:type="gramStart"/>
            <w:r>
              <w:t>3</w:t>
            </w:r>
            <w:proofErr w:type="gramEnd"/>
            <w:r>
              <w:t xml:space="preserve"> componente</w:t>
            </w:r>
          </w:p>
        </w:tc>
        <w:tc>
          <w:tcPr>
            <w:tcW w:w="1052" w:type="dxa"/>
          </w:tcPr>
          <w:p w14:paraId="1246C149" w14:textId="1E363D8E" w:rsidR="00FD7F59" w:rsidRDefault="004B76F2" w:rsidP="00FD7F59">
            <w:r>
              <w:t>272</w:t>
            </w:r>
          </w:p>
        </w:tc>
        <w:tc>
          <w:tcPr>
            <w:tcW w:w="1385" w:type="dxa"/>
          </w:tcPr>
          <w:p w14:paraId="3F71D5AD" w14:textId="24AF2FD2" w:rsidR="00FD7F59" w:rsidRDefault="004B76F2" w:rsidP="00FD7F59">
            <w:r>
              <w:t>34.957,53</w:t>
            </w:r>
          </w:p>
        </w:tc>
        <w:tc>
          <w:tcPr>
            <w:tcW w:w="1134" w:type="dxa"/>
          </w:tcPr>
          <w:p w14:paraId="0D1F249E" w14:textId="25330962" w:rsidR="00FD7F59" w:rsidRDefault="00CF6F36" w:rsidP="00FD7F59">
            <w:r>
              <w:t>0,97</w:t>
            </w:r>
          </w:p>
        </w:tc>
        <w:tc>
          <w:tcPr>
            <w:tcW w:w="1532" w:type="dxa"/>
          </w:tcPr>
          <w:p w14:paraId="7ECC81E8" w14:textId="55C3234A" w:rsidR="00FD7F59" w:rsidRDefault="00CF6F36" w:rsidP="00FD7F59">
            <w:r>
              <w:t>134,04</w:t>
            </w:r>
          </w:p>
        </w:tc>
      </w:tr>
      <w:tr w:rsidR="004B76F2" w14:paraId="2D6E6C7A" w14:textId="77777777" w:rsidTr="004B76F2">
        <w:tc>
          <w:tcPr>
            <w:tcW w:w="4106" w:type="dxa"/>
          </w:tcPr>
          <w:p w14:paraId="5DA1A9B9" w14:textId="5F8C4DFE" w:rsidR="00FD7F59" w:rsidRDefault="00FD7F59" w:rsidP="00FD7F59">
            <w:r>
              <w:t xml:space="preserve">Famiglie di </w:t>
            </w:r>
            <w:proofErr w:type="gramStart"/>
            <w:r>
              <w:t>4</w:t>
            </w:r>
            <w:proofErr w:type="gramEnd"/>
            <w:r>
              <w:t xml:space="preserve"> componenti</w:t>
            </w:r>
          </w:p>
        </w:tc>
        <w:tc>
          <w:tcPr>
            <w:tcW w:w="1052" w:type="dxa"/>
          </w:tcPr>
          <w:p w14:paraId="1DF90742" w14:textId="687105C3" w:rsidR="00FD7F59" w:rsidRDefault="004B76F2" w:rsidP="00FD7F59">
            <w:r>
              <w:t>230</w:t>
            </w:r>
          </w:p>
        </w:tc>
        <w:tc>
          <w:tcPr>
            <w:tcW w:w="1385" w:type="dxa"/>
          </w:tcPr>
          <w:p w14:paraId="75983BC6" w14:textId="2F175C1D" w:rsidR="00FD7F59" w:rsidRDefault="004B76F2" w:rsidP="00FD7F59">
            <w:r>
              <w:t>30.118,61</w:t>
            </w:r>
          </w:p>
        </w:tc>
        <w:tc>
          <w:tcPr>
            <w:tcW w:w="1134" w:type="dxa"/>
          </w:tcPr>
          <w:p w14:paraId="6C3A2219" w14:textId="1F8A8E39" w:rsidR="00FD7F59" w:rsidRDefault="00CF6F36" w:rsidP="00FD7F59">
            <w:r>
              <w:t>1,04</w:t>
            </w:r>
          </w:p>
        </w:tc>
        <w:tc>
          <w:tcPr>
            <w:tcW w:w="1532" w:type="dxa"/>
          </w:tcPr>
          <w:p w14:paraId="0D3B0D00" w14:textId="61875167" w:rsidR="00FD7F59" w:rsidRDefault="00CF6F36" w:rsidP="00FD7F59">
            <w:r>
              <w:t>137,02</w:t>
            </w:r>
          </w:p>
        </w:tc>
      </w:tr>
      <w:tr w:rsidR="004B76F2" w14:paraId="1BF02B2B" w14:textId="77777777" w:rsidTr="004B76F2">
        <w:tc>
          <w:tcPr>
            <w:tcW w:w="4106" w:type="dxa"/>
          </w:tcPr>
          <w:p w14:paraId="004455FF" w14:textId="554EA771" w:rsidR="00FD7F59" w:rsidRDefault="00FD7F59" w:rsidP="00FD7F59">
            <w:r>
              <w:t xml:space="preserve">Famiglie di </w:t>
            </w:r>
            <w:proofErr w:type="gramStart"/>
            <w:r>
              <w:t>5</w:t>
            </w:r>
            <w:proofErr w:type="gramEnd"/>
            <w:r>
              <w:t xml:space="preserve"> componenti</w:t>
            </w:r>
          </w:p>
        </w:tc>
        <w:tc>
          <w:tcPr>
            <w:tcW w:w="1052" w:type="dxa"/>
          </w:tcPr>
          <w:p w14:paraId="58A3CAA9" w14:textId="6A06FCA4" w:rsidR="00FD7F59" w:rsidRDefault="004B76F2" w:rsidP="00FD7F59">
            <w:r>
              <w:t>73</w:t>
            </w:r>
          </w:p>
        </w:tc>
        <w:tc>
          <w:tcPr>
            <w:tcW w:w="1385" w:type="dxa"/>
          </w:tcPr>
          <w:p w14:paraId="1EA2A9FD" w14:textId="0A7EE170" w:rsidR="00FD7F59" w:rsidRDefault="004B76F2" w:rsidP="00FD7F59">
            <w:r>
              <w:t>9.973,50</w:t>
            </w:r>
          </w:p>
        </w:tc>
        <w:tc>
          <w:tcPr>
            <w:tcW w:w="1134" w:type="dxa"/>
          </w:tcPr>
          <w:p w14:paraId="616002AF" w14:textId="54B2B9D4" w:rsidR="00FD7F59" w:rsidRDefault="00CF6F36" w:rsidP="00FD7F59">
            <w:r>
              <w:t>1,07</w:t>
            </w:r>
          </w:p>
        </w:tc>
        <w:tc>
          <w:tcPr>
            <w:tcW w:w="1532" w:type="dxa"/>
          </w:tcPr>
          <w:p w14:paraId="3B53E11F" w14:textId="06FC9670" w:rsidR="00FD7F59" w:rsidRDefault="00CF6F36" w:rsidP="00FD7F59">
            <w:r>
              <w:t>148,94</w:t>
            </w:r>
          </w:p>
        </w:tc>
      </w:tr>
      <w:tr w:rsidR="004B76F2" w14:paraId="604E63E0" w14:textId="77777777" w:rsidTr="004B76F2">
        <w:tc>
          <w:tcPr>
            <w:tcW w:w="4106" w:type="dxa"/>
          </w:tcPr>
          <w:p w14:paraId="67B4E058" w14:textId="2ED443B5" w:rsidR="00FD7F59" w:rsidRDefault="00FD7F59" w:rsidP="00FD7F59">
            <w:r>
              <w:t xml:space="preserve">Famiglie di </w:t>
            </w:r>
            <w:proofErr w:type="gramStart"/>
            <w:r>
              <w:t>6</w:t>
            </w:r>
            <w:proofErr w:type="gramEnd"/>
            <w:r>
              <w:t xml:space="preserve"> o più componenti</w:t>
            </w:r>
          </w:p>
        </w:tc>
        <w:tc>
          <w:tcPr>
            <w:tcW w:w="1052" w:type="dxa"/>
          </w:tcPr>
          <w:p w14:paraId="210F7400" w14:textId="740ED126" w:rsidR="00FD7F59" w:rsidRDefault="004B76F2" w:rsidP="00FD7F59">
            <w:r>
              <w:t>24</w:t>
            </w:r>
          </w:p>
        </w:tc>
        <w:tc>
          <w:tcPr>
            <w:tcW w:w="1385" w:type="dxa"/>
          </w:tcPr>
          <w:p w14:paraId="68E1EA48" w14:textId="43018C78" w:rsidR="00FD7F59" w:rsidRDefault="004B76F2" w:rsidP="00FD7F59">
            <w:r>
              <w:t>2.927,00</w:t>
            </w:r>
          </w:p>
        </w:tc>
        <w:tc>
          <w:tcPr>
            <w:tcW w:w="1134" w:type="dxa"/>
          </w:tcPr>
          <w:p w14:paraId="3DE5B488" w14:textId="6EDFF46C" w:rsidR="00FD7F59" w:rsidRDefault="00CF6F36" w:rsidP="00FD7F59">
            <w:r>
              <w:t>1,06</w:t>
            </w:r>
          </w:p>
        </w:tc>
        <w:tc>
          <w:tcPr>
            <w:tcW w:w="1532" w:type="dxa"/>
          </w:tcPr>
          <w:p w14:paraId="304BA038" w14:textId="2A467CE8" w:rsidR="00FD7F59" w:rsidRDefault="00CF6F36" w:rsidP="00FD7F59">
            <w:r>
              <w:t>160,85</w:t>
            </w:r>
          </w:p>
        </w:tc>
      </w:tr>
      <w:tr w:rsidR="004B76F2" w14:paraId="2C947693" w14:textId="77777777" w:rsidTr="004B76F2">
        <w:tc>
          <w:tcPr>
            <w:tcW w:w="4106" w:type="dxa"/>
          </w:tcPr>
          <w:p w14:paraId="3A5A78EB" w14:textId="37C53AAC" w:rsidR="00FD7F59" w:rsidRDefault="004B76F2" w:rsidP="00FD7F59">
            <w:r>
              <w:t xml:space="preserve">Non residenti o locali tenuti a disposizione </w:t>
            </w:r>
          </w:p>
        </w:tc>
        <w:tc>
          <w:tcPr>
            <w:tcW w:w="1052" w:type="dxa"/>
          </w:tcPr>
          <w:p w14:paraId="3BDDA278" w14:textId="777A9530" w:rsidR="00FD7F59" w:rsidRDefault="004B76F2" w:rsidP="00FD7F59">
            <w:r>
              <w:t>0</w:t>
            </w:r>
          </w:p>
        </w:tc>
        <w:tc>
          <w:tcPr>
            <w:tcW w:w="1385" w:type="dxa"/>
          </w:tcPr>
          <w:p w14:paraId="40AE99EE" w14:textId="18DE8E62" w:rsidR="00FD7F59" w:rsidRDefault="004B76F2" w:rsidP="00FD7F59">
            <w:r>
              <w:t>0,00</w:t>
            </w:r>
          </w:p>
        </w:tc>
        <w:tc>
          <w:tcPr>
            <w:tcW w:w="1134" w:type="dxa"/>
          </w:tcPr>
          <w:p w14:paraId="05540C1E" w14:textId="681DC02D" w:rsidR="00FD7F59" w:rsidRDefault="004B76F2" w:rsidP="00FD7F59">
            <w:r>
              <w:t>0,00</w:t>
            </w:r>
          </w:p>
        </w:tc>
        <w:tc>
          <w:tcPr>
            <w:tcW w:w="1532" w:type="dxa"/>
          </w:tcPr>
          <w:p w14:paraId="04618769" w14:textId="5452739A" w:rsidR="00FD7F59" w:rsidRDefault="004B76F2" w:rsidP="00FD7F59">
            <w:r>
              <w:t>-</w:t>
            </w:r>
          </w:p>
        </w:tc>
      </w:tr>
      <w:tr w:rsidR="004B76F2" w14:paraId="1C2EA96F" w14:textId="77777777" w:rsidTr="004B76F2">
        <w:tc>
          <w:tcPr>
            <w:tcW w:w="4106" w:type="dxa"/>
          </w:tcPr>
          <w:p w14:paraId="5695BE6B" w14:textId="72AE5228" w:rsidR="00FD7F59" w:rsidRDefault="004B76F2" w:rsidP="00FD7F59">
            <w:r>
              <w:t xml:space="preserve">Superfici domestiche accessorie </w:t>
            </w:r>
          </w:p>
        </w:tc>
        <w:tc>
          <w:tcPr>
            <w:tcW w:w="1052" w:type="dxa"/>
          </w:tcPr>
          <w:p w14:paraId="49B6E09E" w14:textId="34BA5257" w:rsidR="00FD7F59" w:rsidRDefault="004B76F2" w:rsidP="00FD7F59">
            <w:r>
              <w:t>0</w:t>
            </w:r>
          </w:p>
        </w:tc>
        <w:tc>
          <w:tcPr>
            <w:tcW w:w="1385" w:type="dxa"/>
          </w:tcPr>
          <w:p w14:paraId="07D3EDC3" w14:textId="275B6B47" w:rsidR="00FD7F59" w:rsidRDefault="004B76F2" w:rsidP="00FD7F59">
            <w:r>
              <w:t>0,00</w:t>
            </w:r>
          </w:p>
        </w:tc>
        <w:tc>
          <w:tcPr>
            <w:tcW w:w="1134" w:type="dxa"/>
          </w:tcPr>
          <w:p w14:paraId="6854F594" w14:textId="62A9B3D6" w:rsidR="00FD7F59" w:rsidRDefault="004B76F2" w:rsidP="00FD7F59">
            <w:r>
              <w:t>0,00</w:t>
            </w:r>
          </w:p>
        </w:tc>
        <w:tc>
          <w:tcPr>
            <w:tcW w:w="1532" w:type="dxa"/>
          </w:tcPr>
          <w:p w14:paraId="1E5E2142" w14:textId="7A29AB6A" w:rsidR="00FD7F59" w:rsidRDefault="004B76F2" w:rsidP="00FD7F59">
            <w:r>
              <w:t>-</w:t>
            </w:r>
          </w:p>
        </w:tc>
      </w:tr>
      <w:tr w:rsidR="004B76F2" w14:paraId="73F3F2D2" w14:textId="77777777" w:rsidTr="004B76F2">
        <w:tc>
          <w:tcPr>
            <w:tcW w:w="4106" w:type="dxa"/>
          </w:tcPr>
          <w:p w14:paraId="4526D39A" w14:textId="038BA907" w:rsidR="00FD7F59" w:rsidRPr="004B76F2" w:rsidRDefault="004B76F2" w:rsidP="00FD7F59">
            <w:pPr>
              <w:rPr>
                <w:b/>
                <w:bCs/>
              </w:rPr>
            </w:pPr>
            <w:r w:rsidRPr="004B76F2">
              <w:rPr>
                <w:b/>
                <w:bCs/>
              </w:rPr>
              <w:t>Totale (escluso pertinenze)</w:t>
            </w:r>
          </w:p>
        </w:tc>
        <w:tc>
          <w:tcPr>
            <w:tcW w:w="1052" w:type="dxa"/>
          </w:tcPr>
          <w:p w14:paraId="7D909156" w14:textId="4AEF3D4F" w:rsidR="00FD7F59" w:rsidRPr="004B76F2" w:rsidRDefault="004B76F2" w:rsidP="00FD7F59">
            <w:pPr>
              <w:rPr>
                <w:b/>
                <w:bCs/>
              </w:rPr>
            </w:pPr>
            <w:r w:rsidRPr="004B76F2">
              <w:rPr>
                <w:b/>
                <w:bCs/>
              </w:rPr>
              <w:t>1.329</w:t>
            </w:r>
          </w:p>
        </w:tc>
        <w:tc>
          <w:tcPr>
            <w:tcW w:w="1385" w:type="dxa"/>
          </w:tcPr>
          <w:p w14:paraId="2E247AA4" w14:textId="203E4F1C" w:rsidR="00FD7F59" w:rsidRPr="004B76F2" w:rsidRDefault="004B76F2" w:rsidP="00FD7F59">
            <w:pPr>
              <w:rPr>
                <w:b/>
                <w:bCs/>
              </w:rPr>
            </w:pPr>
            <w:r w:rsidRPr="004B76F2">
              <w:rPr>
                <w:b/>
                <w:bCs/>
              </w:rPr>
              <w:t>168.647,32</w:t>
            </w:r>
          </w:p>
        </w:tc>
        <w:tc>
          <w:tcPr>
            <w:tcW w:w="1134" w:type="dxa"/>
          </w:tcPr>
          <w:p w14:paraId="4881BCB8" w14:textId="77777777" w:rsidR="00FD7F59" w:rsidRDefault="00FD7F59" w:rsidP="00FD7F59"/>
        </w:tc>
        <w:tc>
          <w:tcPr>
            <w:tcW w:w="1532" w:type="dxa"/>
          </w:tcPr>
          <w:p w14:paraId="3431C233" w14:textId="77777777" w:rsidR="00FD7F59" w:rsidRDefault="00FD7F59" w:rsidP="00FD7F59"/>
        </w:tc>
      </w:tr>
    </w:tbl>
    <w:p w14:paraId="393D7960" w14:textId="61D02305" w:rsidR="00454617" w:rsidRPr="00FD7F59" w:rsidRDefault="00FD7F59" w:rsidP="00FD7F59">
      <w:pPr>
        <w:jc w:val="center"/>
        <w:rPr>
          <w:b/>
          <w:bCs/>
          <w:sz w:val="36"/>
          <w:szCs w:val="36"/>
        </w:rPr>
      </w:pPr>
      <w:r w:rsidRPr="00FD7F59">
        <w:rPr>
          <w:b/>
          <w:bCs/>
          <w:sz w:val="36"/>
          <w:szCs w:val="36"/>
        </w:rPr>
        <w:t>Comune di Casamarciano</w:t>
      </w:r>
    </w:p>
    <w:p w14:paraId="63423A00" w14:textId="08DC5DC6" w:rsidR="00FD7F59" w:rsidRPr="00FD7F59" w:rsidRDefault="00FD7F59" w:rsidP="00FD7F59">
      <w:pPr>
        <w:jc w:val="center"/>
        <w:rPr>
          <w:b/>
          <w:bCs/>
          <w:sz w:val="36"/>
          <w:szCs w:val="36"/>
        </w:rPr>
      </w:pPr>
      <w:r w:rsidRPr="00FD7F59">
        <w:rPr>
          <w:b/>
          <w:bCs/>
          <w:sz w:val="36"/>
          <w:szCs w:val="36"/>
        </w:rPr>
        <w:t>Utenze domestiche</w:t>
      </w:r>
    </w:p>
    <w:sectPr w:rsidR="00FD7F59" w:rsidRPr="00FD7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9"/>
    <w:rsid w:val="00454617"/>
    <w:rsid w:val="004B76F2"/>
    <w:rsid w:val="00793EFC"/>
    <w:rsid w:val="00CF6F36"/>
    <w:rsid w:val="00D85681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626"/>
  <w15:chartTrackingRefBased/>
  <w15:docId w15:val="{B59A9511-5D5B-40F0-8623-2258C67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2</cp:revision>
  <cp:lastPrinted>2021-07-14T10:42:00Z</cp:lastPrinted>
  <dcterms:created xsi:type="dcterms:W3CDTF">2021-07-14T10:22:00Z</dcterms:created>
  <dcterms:modified xsi:type="dcterms:W3CDTF">2021-07-16T09:33:00Z</dcterms:modified>
</cp:coreProperties>
</file>